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32E" w:rsidRDefault="008A332E" w:rsidP="009F725D">
      <w:pPr>
        <w:spacing w:line="480" w:lineRule="auto"/>
        <w:ind w:firstLine="720"/>
        <w:jc w:val="center"/>
        <w:rPr>
          <w:rFonts w:ascii="Times New Roman" w:hAnsi="Times New Roman" w:cs="Times New Roman"/>
          <w:sz w:val="24"/>
          <w:szCs w:val="24"/>
        </w:rPr>
      </w:pPr>
      <w:bookmarkStart w:id="0" w:name="_GoBack"/>
      <w:bookmarkEnd w:id="0"/>
    </w:p>
    <w:p w:rsidR="008A332E" w:rsidRDefault="008A332E" w:rsidP="009F725D">
      <w:pPr>
        <w:spacing w:line="480" w:lineRule="auto"/>
        <w:ind w:firstLine="720"/>
        <w:jc w:val="center"/>
        <w:rPr>
          <w:rFonts w:ascii="Times New Roman" w:hAnsi="Times New Roman" w:cs="Times New Roman"/>
          <w:sz w:val="24"/>
          <w:szCs w:val="24"/>
        </w:rPr>
      </w:pPr>
    </w:p>
    <w:p w:rsidR="008A332E" w:rsidRDefault="008A332E" w:rsidP="009F725D">
      <w:pPr>
        <w:spacing w:line="480" w:lineRule="auto"/>
        <w:ind w:firstLine="720"/>
        <w:jc w:val="center"/>
        <w:rPr>
          <w:rFonts w:ascii="Times New Roman" w:hAnsi="Times New Roman" w:cs="Times New Roman"/>
          <w:sz w:val="24"/>
          <w:szCs w:val="24"/>
        </w:rPr>
      </w:pPr>
    </w:p>
    <w:p w:rsidR="008A332E" w:rsidRDefault="008A332E" w:rsidP="009F725D">
      <w:pPr>
        <w:spacing w:line="480" w:lineRule="auto"/>
        <w:ind w:firstLine="720"/>
        <w:jc w:val="center"/>
        <w:rPr>
          <w:rFonts w:ascii="Times New Roman" w:hAnsi="Times New Roman" w:cs="Times New Roman"/>
          <w:sz w:val="24"/>
          <w:szCs w:val="24"/>
        </w:rPr>
      </w:pPr>
    </w:p>
    <w:p w:rsidR="008A332E" w:rsidRDefault="008A332E" w:rsidP="009F725D">
      <w:pPr>
        <w:spacing w:line="480" w:lineRule="auto"/>
        <w:ind w:firstLine="720"/>
        <w:jc w:val="center"/>
        <w:rPr>
          <w:rFonts w:ascii="Times New Roman" w:hAnsi="Times New Roman" w:cs="Times New Roman"/>
          <w:sz w:val="24"/>
          <w:szCs w:val="24"/>
        </w:rPr>
      </w:pPr>
    </w:p>
    <w:p w:rsidR="009F725D" w:rsidRDefault="009F725D" w:rsidP="009F725D">
      <w:pPr>
        <w:spacing w:line="480" w:lineRule="auto"/>
        <w:ind w:firstLine="720"/>
        <w:jc w:val="center"/>
        <w:rPr>
          <w:rFonts w:ascii="Times New Roman" w:hAnsi="Times New Roman" w:cs="Times New Roman"/>
          <w:sz w:val="24"/>
          <w:szCs w:val="24"/>
        </w:rPr>
      </w:pPr>
      <w:r w:rsidRPr="009F725D">
        <w:rPr>
          <w:rFonts w:ascii="Times New Roman" w:hAnsi="Times New Roman" w:cs="Times New Roman"/>
          <w:sz w:val="24"/>
          <w:szCs w:val="24"/>
        </w:rPr>
        <w:t>The 1996 Healthcare Act</w:t>
      </w:r>
    </w:p>
    <w:p w:rsidR="008A332E" w:rsidRDefault="008A332E" w:rsidP="009F72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8A332E" w:rsidRDefault="008A332E" w:rsidP="009F72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8A332E" w:rsidRDefault="008A332E" w:rsidP="008A332E">
      <w:pPr>
        <w:spacing w:line="480" w:lineRule="auto"/>
        <w:ind w:firstLine="720"/>
        <w:jc w:val="center"/>
        <w:rPr>
          <w:rFonts w:ascii="Times New Roman" w:hAnsi="Times New Roman" w:cs="Times New Roman"/>
          <w:sz w:val="24"/>
          <w:szCs w:val="24"/>
        </w:rPr>
      </w:pPr>
    </w:p>
    <w:p w:rsidR="008A332E" w:rsidRDefault="008A332E" w:rsidP="008A332E">
      <w:pPr>
        <w:spacing w:line="480" w:lineRule="auto"/>
        <w:ind w:firstLine="720"/>
        <w:jc w:val="center"/>
        <w:rPr>
          <w:rFonts w:ascii="Times New Roman" w:hAnsi="Times New Roman" w:cs="Times New Roman"/>
          <w:sz w:val="24"/>
          <w:szCs w:val="24"/>
        </w:rPr>
      </w:pPr>
    </w:p>
    <w:p w:rsidR="008A332E" w:rsidRDefault="008A332E" w:rsidP="008A332E">
      <w:pPr>
        <w:spacing w:line="480" w:lineRule="auto"/>
        <w:ind w:firstLine="720"/>
        <w:jc w:val="center"/>
        <w:rPr>
          <w:rFonts w:ascii="Times New Roman" w:hAnsi="Times New Roman" w:cs="Times New Roman"/>
          <w:sz w:val="24"/>
          <w:szCs w:val="24"/>
        </w:rPr>
      </w:pPr>
    </w:p>
    <w:p w:rsidR="008A332E" w:rsidRDefault="008A332E" w:rsidP="008A332E">
      <w:pPr>
        <w:spacing w:line="480" w:lineRule="auto"/>
        <w:ind w:firstLine="720"/>
        <w:jc w:val="center"/>
        <w:rPr>
          <w:rFonts w:ascii="Times New Roman" w:hAnsi="Times New Roman" w:cs="Times New Roman"/>
          <w:sz w:val="24"/>
          <w:szCs w:val="24"/>
        </w:rPr>
      </w:pPr>
    </w:p>
    <w:p w:rsidR="008A332E" w:rsidRDefault="008A332E" w:rsidP="008A332E">
      <w:pPr>
        <w:spacing w:line="480" w:lineRule="auto"/>
        <w:ind w:firstLine="720"/>
        <w:jc w:val="center"/>
        <w:rPr>
          <w:rFonts w:ascii="Times New Roman" w:hAnsi="Times New Roman" w:cs="Times New Roman"/>
          <w:sz w:val="24"/>
          <w:szCs w:val="24"/>
        </w:rPr>
      </w:pPr>
    </w:p>
    <w:p w:rsidR="008A332E" w:rsidRDefault="008A332E" w:rsidP="008A332E">
      <w:pPr>
        <w:spacing w:line="480" w:lineRule="auto"/>
        <w:ind w:firstLine="720"/>
        <w:jc w:val="center"/>
        <w:rPr>
          <w:rFonts w:ascii="Times New Roman" w:hAnsi="Times New Roman" w:cs="Times New Roman"/>
          <w:sz w:val="24"/>
          <w:szCs w:val="24"/>
        </w:rPr>
      </w:pPr>
    </w:p>
    <w:p w:rsidR="008A332E" w:rsidRDefault="008A332E" w:rsidP="008A332E">
      <w:pPr>
        <w:spacing w:line="480" w:lineRule="auto"/>
        <w:ind w:firstLine="720"/>
        <w:jc w:val="center"/>
        <w:rPr>
          <w:rFonts w:ascii="Times New Roman" w:hAnsi="Times New Roman" w:cs="Times New Roman"/>
          <w:sz w:val="24"/>
          <w:szCs w:val="24"/>
        </w:rPr>
      </w:pPr>
    </w:p>
    <w:p w:rsidR="008A332E" w:rsidRDefault="008A332E" w:rsidP="008A332E">
      <w:pPr>
        <w:spacing w:line="480" w:lineRule="auto"/>
        <w:ind w:firstLine="720"/>
        <w:jc w:val="center"/>
        <w:rPr>
          <w:rFonts w:ascii="Times New Roman" w:hAnsi="Times New Roman" w:cs="Times New Roman"/>
          <w:sz w:val="24"/>
          <w:szCs w:val="24"/>
        </w:rPr>
      </w:pPr>
    </w:p>
    <w:p w:rsidR="008A332E" w:rsidRDefault="008A332E" w:rsidP="008A332E">
      <w:pPr>
        <w:spacing w:line="480" w:lineRule="auto"/>
        <w:ind w:firstLine="720"/>
        <w:jc w:val="center"/>
        <w:rPr>
          <w:rFonts w:ascii="Times New Roman" w:hAnsi="Times New Roman" w:cs="Times New Roman"/>
          <w:sz w:val="24"/>
          <w:szCs w:val="24"/>
        </w:rPr>
      </w:pPr>
    </w:p>
    <w:p w:rsidR="008A332E" w:rsidRPr="009F725D" w:rsidRDefault="008A332E" w:rsidP="008A332E">
      <w:pPr>
        <w:spacing w:line="480" w:lineRule="auto"/>
        <w:ind w:firstLine="720"/>
        <w:jc w:val="center"/>
        <w:rPr>
          <w:rFonts w:ascii="Times New Roman" w:hAnsi="Times New Roman" w:cs="Times New Roman"/>
          <w:sz w:val="24"/>
          <w:szCs w:val="24"/>
        </w:rPr>
      </w:pPr>
      <w:r w:rsidRPr="008A332E">
        <w:rPr>
          <w:rFonts w:ascii="Times New Roman" w:hAnsi="Times New Roman" w:cs="Times New Roman"/>
          <w:sz w:val="24"/>
          <w:szCs w:val="24"/>
        </w:rPr>
        <w:lastRenderedPageBreak/>
        <w:t>The 1996 Healthcare Act</w:t>
      </w:r>
    </w:p>
    <w:p w:rsidR="009F725D" w:rsidRPr="009F725D" w:rsidRDefault="009F725D" w:rsidP="009F725D">
      <w:pPr>
        <w:spacing w:line="480" w:lineRule="auto"/>
        <w:ind w:firstLine="720"/>
        <w:rPr>
          <w:rFonts w:ascii="Times New Roman" w:hAnsi="Times New Roman" w:cs="Times New Roman"/>
          <w:sz w:val="24"/>
          <w:szCs w:val="24"/>
        </w:rPr>
      </w:pPr>
      <w:r w:rsidRPr="009F725D">
        <w:rPr>
          <w:rFonts w:ascii="Times New Roman" w:hAnsi="Times New Roman" w:cs="Times New Roman"/>
          <w:sz w:val="24"/>
          <w:szCs w:val="24"/>
        </w:rPr>
        <w:t>The Health Insurance Portability and Accountability Act (H.I.P.A.A) in 1996. The act was a culmination of fraud and mismanagement of healthcare insurance funds</w:t>
      </w:r>
      <w:r w:rsidR="008A332E">
        <w:rPr>
          <w:rFonts w:ascii="Times New Roman" w:hAnsi="Times New Roman" w:cs="Times New Roman"/>
          <w:sz w:val="24"/>
          <w:szCs w:val="24"/>
        </w:rPr>
        <w:t xml:space="preserve"> (Young &amp; </w:t>
      </w:r>
      <w:proofErr w:type="spellStart"/>
      <w:r w:rsidR="008A332E">
        <w:rPr>
          <w:rFonts w:ascii="Times New Roman" w:hAnsi="Times New Roman" w:cs="Times New Roman"/>
          <w:sz w:val="24"/>
          <w:szCs w:val="24"/>
        </w:rPr>
        <w:t>Kroth</w:t>
      </w:r>
      <w:proofErr w:type="spellEnd"/>
      <w:r w:rsidR="008A332E">
        <w:rPr>
          <w:rFonts w:ascii="Times New Roman" w:hAnsi="Times New Roman" w:cs="Times New Roman"/>
          <w:sz w:val="24"/>
          <w:szCs w:val="24"/>
        </w:rPr>
        <w:t>, 2017)</w:t>
      </w:r>
      <w:r w:rsidRPr="009F725D">
        <w:rPr>
          <w:rFonts w:ascii="Times New Roman" w:hAnsi="Times New Roman" w:cs="Times New Roman"/>
          <w:sz w:val="24"/>
          <w:szCs w:val="24"/>
        </w:rPr>
        <w:t>. Also, the act was passed due to what was then termed as the abuse of health insurance systems. Additionally, the Congress passed this bill, which was later signed into law by the then president, Bill Clinton which then entrenched strict rules which touched on the insurance policies and provision of availability of maintenance of one's insurance policy in case they were to swap jobs. The provisions and the significant changes that came with the advent of the H.I.P.A.A are discussed as follows</w:t>
      </w:r>
      <w:r w:rsidR="008A332E">
        <w:rPr>
          <w:rFonts w:ascii="Times New Roman" w:hAnsi="Times New Roman" w:cs="Times New Roman"/>
          <w:sz w:val="24"/>
          <w:szCs w:val="24"/>
        </w:rPr>
        <w:t>:</w:t>
      </w:r>
    </w:p>
    <w:p w:rsidR="009F725D" w:rsidRPr="009F725D" w:rsidRDefault="009F725D" w:rsidP="009F725D">
      <w:pPr>
        <w:spacing w:line="480" w:lineRule="auto"/>
        <w:ind w:firstLine="720"/>
        <w:rPr>
          <w:rFonts w:ascii="Times New Roman" w:hAnsi="Times New Roman" w:cs="Times New Roman"/>
          <w:sz w:val="24"/>
          <w:szCs w:val="24"/>
        </w:rPr>
      </w:pPr>
      <w:r w:rsidRPr="009F725D">
        <w:rPr>
          <w:rFonts w:ascii="Times New Roman" w:hAnsi="Times New Roman" w:cs="Times New Roman"/>
          <w:sz w:val="24"/>
          <w:szCs w:val="24"/>
        </w:rPr>
        <w:t xml:space="preserve">The act contained the provisions for the application of the Anti-Kickback Statute which then mandated the OGI-HHS to issue advisory to members requesting </w:t>
      </w:r>
      <w:proofErr w:type="gramStart"/>
      <w:r w:rsidRPr="009F725D">
        <w:rPr>
          <w:rFonts w:ascii="Times New Roman" w:hAnsi="Times New Roman" w:cs="Times New Roman"/>
          <w:sz w:val="24"/>
          <w:szCs w:val="24"/>
        </w:rPr>
        <w:t>them</w:t>
      </w:r>
      <w:proofErr w:type="gramEnd"/>
      <w:r w:rsidR="008A332E">
        <w:rPr>
          <w:rFonts w:ascii="Times New Roman" w:hAnsi="Times New Roman" w:cs="Times New Roman"/>
          <w:sz w:val="24"/>
          <w:szCs w:val="24"/>
        </w:rPr>
        <w:t xml:space="preserve"> (</w:t>
      </w:r>
      <w:proofErr w:type="spellStart"/>
      <w:r w:rsidR="008A332E">
        <w:rPr>
          <w:rFonts w:ascii="Times New Roman" w:hAnsi="Times New Roman" w:cs="Times New Roman"/>
          <w:sz w:val="24"/>
          <w:szCs w:val="24"/>
        </w:rPr>
        <w:t>Antwi</w:t>
      </w:r>
      <w:proofErr w:type="spellEnd"/>
      <w:r w:rsidR="008A332E">
        <w:rPr>
          <w:rFonts w:ascii="Times New Roman" w:hAnsi="Times New Roman" w:cs="Times New Roman"/>
          <w:sz w:val="24"/>
          <w:szCs w:val="24"/>
        </w:rPr>
        <w:t xml:space="preserve"> et al., 2015)</w:t>
      </w:r>
      <w:r w:rsidRPr="009F725D">
        <w:rPr>
          <w:rFonts w:ascii="Times New Roman" w:hAnsi="Times New Roman" w:cs="Times New Roman"/>
          <w:sz w:val="24"/>
          <w:szCs w:val="24"/>
        </w:rPr>
        <w:t xml:space="preserve">. In this case, the OIG-HHS is to advise on what conduct, arrangements, and actions are forbidden under the statute. It also gave the opportunity for people to ask for investigations for Medicaid and Medicare activities which are suspect. The act also gave opportunities for Medicare-certified Health Maintenance Organization (HMO) to share risks with an individual or entity providing items or Medicare services. </w:t>
      </w:r>
    </w:p>
    <w:p w:rsidR="009F725D" w:rsidRPr="009F725D" w:rsidRDefault="009F725D" w:rsidP="009F725D">
      <w:pPr>
        <w:spacing w:line="480" w:lineRule="auto"/>
        <w:ind w:firstLine="720"/>
        <w:rPr>
          <w:rFonts w:ascii="Times New Roman" w:hAnsi="Times New Roman" w:cs="Times New Roman"/>
          <w:sz w:val="24"/>
          <w:szCs w:val="24"/>
        </w:rPr>
      </w:pPr>
      <w:r w:rsidRPr="009F725D">
        <w:rPr>
          <w:rFonts w:ascii="Times New Roman" w:hAnsi="Times New Roman" w:cs="Times New Roman"/>
          <w:sz w:val="24"/>
          <w:szCs w:val="24"/>
        </w:rPr>
        <w:t>The act also provides for individuals to apply for Federal Healthcare Programs. Under the same clause, there was also included increment of assessments from twice to three times the amount claimed and penalties from $2000 to $10000 per item</w:t>
      </w:r>
      <w:r w:rsidR="008A332E">
        <w:rPr>
          <w:rFonts w:ascii="Times New Roman" w:hAnsi="Times New Roman" w:cs="Times New Roman"/>
          <w:sz w:val="24"/>
          <w:szCs w:val="24"/>
        </w:rPr>
        <w:t xml:space="preserve"> (</w:t>
      </w:r>
      <w:proofErr w:type="spellStart"/>
      <w:r w:rsidR="008A332E">
        <w:rPr>
          <w:rFonts w:ascii="Times New Roman" w:hAnsi="Times New Roman" w:cs="Times New Roman"/>
          <w:sz w:val="24"/>
          <w:szCs w:val="24"/>
        </w:rPr>
        <w:t>Antwi</w:t>
      </w:r>
      <w:proofErr w:type="spellEnd"/>
      <w:r w:rsidR="008A332E">
        <w:rPr>
          <w:rFonts w:ascii="Times New Roman" w:hAnsi="Times New Roman" w:cs="Times New Roman"/>
          <w:sz w:val="24"/>
          <w:szCs w:val="24"/>
        </w:rPr>
        <w:t xml:space="preserve"> </w:t>
      </w:r>
      <w:proofErr w:type="spellStart"/>
      <w:r w:rsidR="008A332E">
        <w:rPr>
          <w:rFonts w:ascii="Times New Roman" w:hAnsi="Times New Roman" w:cs="Times New Roman"/>
          <w:sz w:val="24"/>
          <w:szCs w:val="24"/>
        </w:rPr>
        <w:t>wt</w:t>
      </w:r>
      <w:proofErr w:type="spellEnd"/>
      <w:r w:rsidR="008A332E">
        <w:rPr>
          <w:rFonts w:ascii="Times New Roman" w:hAnsi="Times New Roman" w:cs="Times New Roman"/>
          <w:sz w:val="24"/>
          <w:szCs w:val="24"/>
        </w:rPr>
        <w:t xml:space="preserve"> al., 2015)</w:t>
      </w:r>
      <w:r w:rsidRPr="009F725D">
        <w:rPr>
          <w:rFonts w:ascii="Times New Roman" w:hAnsi="Times New Roman" w:cs="Times New Roman"/>
          <w:sz w:val="24"/>
          <w:szCs w:val="24"/>
        </w:rPr>
        <w:t xml:space="preserve">. These were the significant revisions that were done under the Civil Money Penalty (CMP). The sanctions that were singled out could relate to deliberate ignorance of the truth or falsify information or suspect actions which are aimed at disregarding the truth or distorting information. </w:t>
      </w:r>
    </w:p>
    <w:p w:rsidR="009F725D" w:rsidRPr="009F725D" w:rsidRDefault="009F725D" w:rsidP="009F725D">
      <w:pPr>
        <w:spacing w:line="480" w:lineRule="auto"/>
        <w:ind w:firstLine="720"/>
        <w:rPr>
          <w:rFonts w:ascii="Times New Roman" w:hAnsi="Times New Roman" w:cs="Times New Roman"/>
          <w:sz w:val="24"/>
          <w:szCs w:val="24"/>
        </w:rPr>
      </w:pPr>
      <w:r w:rsidRPr="009F725D">
        <w:rPr>
          <w:rFonts w:ascii="Times New Roman" w:hAnsi="Times New Roman" w:cs="Times New Roman"/>
          <w:sz w:val="24"/>
          <w:szCs w:val="24"/>
        </w:rPr>
        <w:lastRenderedPageBreak/>
        <w:t>There were also various sanctions and various repercussions to actions of fraud and abuse of information in the healthcare sector by the H.I.P.A.A. Medicare HMO's that do not carry out the provisions of the act were to be sanctioned if they carried Medicaid and Medicare in the manner that compromised the administration of the program. Effectively, also, Penalties for fraud and falsification of information would be issued to persons not exceeding $5000</w:t>
      </w:r>
      <w:r w:rsidR="008A332E">
        <w:rPr>
          <w:rFonts w:ascii="Times New Roman" w:hAnsi="Times New Roman" w:cs="Times New Roman"/>
          <w:sz w:val="24"/>
          <w:szCs w:val="24"/>
        </w:rPr>
        <w:t xml:space="preserve"> Young &amp; </w:t>
      </w:r>
      <w:proofErr w:type="spellStart"/>
      <w:r w:rsidR="008A332E">
        <w:rPr>
          <w:rFonts w:ascii="Times New Roman" w:hAnsi="Times New Roman" w:cs="Times New Roman"/>
          <w:sz w:val="24"/>
          <w:szCs w:val="24"/>
        </w:rPr>
        <w:t>Kroth</w:t>
      </w:r>
      <w:proofErr w:type="spellEnd"/>
      <w:r w:rsidR="008A332E">
        <w:rPr>
          <w:rFonts w:ascii="Times New Roman" w:hAnsi="Times New Roman" w:cs="Times New Roman"/>
          <w:sz w:val="24"/>
          <w:szCs w:val="24"/>
        </w:rPr>
        <w:t>, 2017)</w:t>
      </w:r>
      <w:r w:rsidRPr="009F725D">
        <w:rPr>
          <w:rFonts w:ascii="Times New Roman" w:hAnsi="Times New Roman" w:cs="Times New Roman"/>
          <w:sz w:val="24"/>
          <w:szCs w:val="24"/>
        </w:rPr>
        <w:t>.</w:t>
      </w:r>
    </w:p>
    <w:p w:rsidR="00B00451" w:rsidRPr="009F725D" w:rsidRDefault="009F725D" w:rsidP="009F725D">
      <w:pPr>
        <w:spacing w:line="480" w:lineRule="auto"/>
        <w:ind w:firstLine="720"/>
        <w:rPr>
          <w:rFonts w:ascii="Times New Roman" w:hAnsi="Times New Roman" w:cs="Times New Roman"/>
          <w:sz w:val="24"/>
          <w:szCs w:val="24"/>
        </w:rPr>
      </w:pPr>
      <w:r w:rsidRPr="009F725D">
        <w:rPr>
          <w:rFonts w:ascii="Times New Roman" w:hAnsi="Times New Roman" w:cs="Times New Roman"/>
          <w:sz w:val="24"/>
          <w:szCs w:val="24"/>
        </w:rPr>
        <w:t>In a nutshell, the H.I.P.A.A brought profound changes to the healthcare system in the U.S. The changes touched on matters insurance, fraud and abuse of office or medical operation practices.</w:t>
      </w:r>
    </w:p>
    <w:p w:rsidR="008A332E" w:rsidRDefault="008A332E" w:rsidP="009F725D">
      <w:pPr>
        <w:spacing w:line="480" w:lineRule="auto"/>
        <w:ind w:firstLine="720"/>
        <w:rPr>
          <w:rFonts w:ascii="Times New Roman" w:hAnsi="Times New Roman" w:cs="Times New Roman"/>
          <w:sz w:val="24"/>
          <w:szCs w:val="24"/>
        </w:rPr>
      </w:pPr>
    </w:p>
    <w:p w:rsidR="008A332E" w:rsidRDefault="008A332E" w:rsidP="009F725D">
      <w:pPr>
        <w:spacing w:line="480" w:lineRule="auto"/>
        <w:ind w:firstLine="720"/>
        <w:rPr>
          <w:rFonts w:ascii="Times New Roman" w:hAnsi="Times New Roman" w:cs="Times New Roman"/>
          <w:sz w:val="24"/>
          <w:szCs w:val="24"/>
        </w:rPr>
      </w:pPr>
    </w:p>
    <w:p w:rsidR="008A332E" w:rsidRDefault="008A332E" w:rsidP="009F725D">
      <w:pPr>
        <w:spacing w:line="480" w:lineRule="auto"/>
        <w:ind w:firstLine="720"/>
        <w:rPr>
          <w:rFonts w:ascii="Times New Roman" w:hAnsi="Times New Roman" w:cs="Times New Roman"/>
          <w:sz w:val="24"/>
          <w:szCs w:val="24"/>
        </w:rPr>
      </w:pPr>
    </w:p>
    <w:p w:rsidR="008A332E" w:rsidRDefault="008A332E" w:rsidP="009F725D">
      <w:pPr>
        <w:spacing w:line="480" w:lineRule="auto"/>
        <w:ind w:firstLine="720"/>
        <w:rPr>
          <w:rFonts w:ascii="Times New Roman" w:hAnsi="Times New Roman" w:cs="Times New Roman"/>
          <w:sz w:val="24"/>
          <w:szCs w:val="24"/>
        </w:rPr>
      </w:pPr>
    </w:p>
    <w:p w:rsidR="008A332E" w:rsidRDefault="008A332E" w:rsidP="009F725D">
      <w:pPr>
        <w:spacing w:line="480" w:lineRule="auto"/>
        <w:ind w:firstLine="720"/>
        <w:rPr>
          <w:rFonts w:ascii="Times New Roman" w:hAnsi="Times New Roman" w:cs="Times New Roman"/>
          <w:sz w:val="24"/>
          <w:szCs w:val="24"/>
        </w:rPr>
      </w:pPr>
    </w:p>
    <w:p w:rsidR="008A332E" w:rsidRDefault="008A332E" w:rsidP="009F725D">
      <w:pPr>
        <w:spacing w:line="480" w:lineRule="auto"/>
        <w:ind w:firstLine="720"/>
        <w:rPr>
          <w:rFonts w:ascii="Times New Roman" w:hAnsi="Times New Roman" w:cs="Times New Roman"/>
          <w:sz w:val="24"/>
          <w:szCs w:val="24"/>
        </w:rPr>
      </w:pPr>
    </w:p>
    <w:p w:rsidR="008A332E" w:rsidRDefault="008A332E" w:rsidP="009F725D">
      <w:pPr>
        <w:spacing w:line="480" w:lineRule="auto"/>
        <w:ind w:firstLine="720"/>
        <w:rPr>
          <w:rFonts w:ascii="Times New Roman" w:hAnsi="Times New Roman" w:cs="Times New Roman"/>
          <w:sz w:val="24"/>
          <w:szCs w:val="24"/>
        </w:rPr>
      </w:pPr>
    </w:p>
    <w:p w:rsidR="008A332E" w:rsidRDefault="008A332E" w:rsidP="009F725D">
      <w:pPr>
        <w:spacing w:line="480" w:lineRule="auto"/>
        <w:ind w:firstLine="720"/>
        <w:rPr>
          <w:rFonts w:ascii="Times New Roman" w:hAnsi="Times New Roman" w:cs="Times New Roman"/>
          <w:sz w:val="24"/>
          <w:szCs w:val="24"/>
        </w:rPr>
      </w:pPr>
    </w:p>
    <w:p w:rsidR="008A332E" w:rsidRDefault="008A332E" w:rsidP="009F725D">
      <w:pPr>
        <w:spacing w:line="480" w:lineRule="auto"/>
        <w:ind w:firstLine="720"/>
        <w:rPr>
          <w:rFonts w:ascii="Times New Roman" w:hAnsi="Times New Roman" w:cs="Times New Roman"/>
          <w:sz w:val="24"/>
          <w:szCs w:val="24"/>
        </w:rPr>
      </w:pPr>
    </w:p>
    <w:p w:rsidR="008A332E" w:rsidRDefault="008A332E" w:rsidP="009F725D">
      <w:pPr>
        <w:spacing w:line="480" w:lineRule="auto"/>
        <w:ind w:firstLine="720"/>
        <w:rPr>
          <w:rFonts w:ascii="Times New Roman" w:hAnsi="Times New Roman" w:cs="Times New Roman"/>
          <w:sz w:val="24"/>
          <w:szCs w:val="24"/>
        </w:rPr>
      </w:pPr>
    </w:p>
    <w:p w:rsidR="009F725D" w:rsidRDefault="008A332E" w:rsidP="008A332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A332E" w:rsidRPr="009F725D" w:rsidRDefault="008A332E" w:rsidP="008A332E">
      <w:pPr>
        <w:spacing w:line="480" w:lineRule="auto"/>
        <w:ind w:left="720" w:hanging="720"/>
        <w:rPr>
          <w:rFonts w:ascii="Times New Roman" w:hAnsi="Times New Roman" w:cs="Times New Roman"/>
          <w:sz w:val="24"/>
          <w:szCs w:val="24"/>
        </w:rPr>
      </w:pPr>
      <w:proofErr w:type="spellStart"/>
      <w:proofErr w:type="gramStart"/>
      <w:r w:rsidRPr="008A332E">
        <w:rPr>
          <w:rFonts w:ascii="Times New Roman" w:hAnsi="Times New Roman" w:cs="Times New Roman"/>
          <w:sz w:val="24"/>
          <w:szCs w:val="24"/>
        </w:rPr>
        <w:t>Antwi</w:t>
      </w:r>
      <w:proofErr w:type="spellEnd"/>
      <w:r w:rsidRPr="008A332E">
        <w:rPr>
          <w:rFonts w:ascii="Times New Roman" w:hAnsi="Times New Roman" w:cs="Times New Roman"/>
          <w:sz w:val="24"/>
          <w:szCs w:val="24"/>
        </w:rPr>
        <w:t>, Y. A., Moriya, A. S., &amp; Simon, K. I. (2015).</w:t>
      </w:r>
      <w:proofErr w:type="gramEnd"/>
      <w:r w:rsidRPr="008A332E">
        <w:rPr>
          <w:rFonts w:ascii="Times New Roman" w:hAnsi="Times New Roman" w:cs="Times New Roman"/>
          <w:sz w:val="24"/>
          <w:szCs w:val="24"/>
        </w:rPr>
        <w:t xml:space="preserve"> Access to health insurance and the use of inpatient medical care: evidence from the Affordable Care Act young adult mandate. </w:t>
      </w:r>
      <w:proofErr w:type="gramStart"/>
      <w:r w:rsidRPr="008A332E">
        <w:rPr>
          <w:rFonts w:ascii="Times New Roman" w:hAnsi="Times New Roman" w:cs="Times New Roman"/>
          <w:i/>
          <w:iCs/>
          <w:sz w:val="24"/>
          <w:szCs w:val="24"/>
        </w:rPr>
        <w:t>Journal of health economics</w:t>
      </w:r>
      <w:r w:rsidRPr="008A332E">
        <w:rPr>
          <w:rFonts w:ascii="Times New Roman" w:hAnsi="Times New Roman" w:cs="Times New Roman"/>
          <w:sz w:val="24"/>
          <w:szCs w:val="24"/>
        </w:rPr>
        <w:t>, </w:t>
      </w:r>
      <w:r w:rsidRPr="008A332E">
        <w:rPr>
          <w:rFonts w:ascii="Times New Roman" w:hAnsi="Times New Roman" w:cs="Times New Roman"/>
          <w:i/>
          <w:iCs/>
          <w:sz w:val="24"/>
          <w:szCs w:val="24"/>
        </w:rPr>
        <w:t>39</w:t>
      </w:r>
      <w:r w:rsidRPr="008A332E">
        <w:rPr>
          <w:rFonts w:ascii="Times New Roman" w:hAnsi="Times New Roman" w:cs="Times New Roman"/>
          <w:sz w:val="24"/>
          <w:szCs w:val="24"/>
        </w:rPr>
        <w:t>, 171-187.</w:t>
      </w:r>
      <w:proofErr w:type="gramEnd"/>
    </w:p>
    <w:p w:rsidR="008A332E" w:rsidRDefault="008A332E" w:rsidP="008A332E">
      <w:pPr>
        <w:spacing w:line="480" w:lineRule="auto"/>
        <w:ind w:left="720" w:hanging="720"/>
        <w:rPr>
          <w:rFonts w:ascii="Times New Roman" w:hAnsi="Times New Roman" w:cs="Times New Roman"/>
          <w:sz w:val="24"/>
          <w:szCs w:val="24"/>
        </w:rPr>
      </w:pPr>
      <w:proofErr w:type="gramStart"/>
      <w:r w:rsidRPr="008A332E">
        <w:rPr>
          <w:rFonts w:ascii="Times New Roman" w:hAnsi="Times New Roman" w:cs="Times New Roman"/>
          <w:sz w:val="24"/>
          <w:szCs w:val="24"/>
        </w:rPr>
        <w:t xml:space="preserve">Young, K. M., &amp; </w:t>
      </w:r>
      <w:proofErr w:type="spellStart"/>
      <w:r w:rsidRPr="008A332E">
        <w:rPr>
          <w:rFonts w:ascii="Times New Roman" w:hAnsi="Times New Roman" w:cs="Times New Roman"/>
          <w:sz w:val="24"/>
          <w:szCs w:val="24"/>
        </w:rPr>
        <w:t>Kroth</w:t>
      </w:r>
      <w:proofErr w:type="spellEnd"/>
      <w:r w:rsidRPr="008A332E">
        <w:rPr>
          <w:rFonts w:ascii="Times New Roman" w:hAnsi="Times New Roman" w:cs="Times New Roman"/>
          <w:sz w:val="24"/>
          <w:szCs w:val="24"/>
        </w:rPr>
        <w:t>, P. J. (2017).</w:t>
      </w:r>
      <w:proofErr w:type="gramEnd"/>
      <w:r w:rsidRPr="008A332E">
        <w:rPr>
          <w:rFonts w:ascii="Times New Roman" w:hAnsi="Times New Roman" w:cs="Times New Roman"/>
          <w:sz w:val="24"/>
          <w:szCs w:val="24"/>
        </w:rPr>
        <w:t> </w:t>
      </w:r>
      <w:proofErr w:type="spellStart"/>
      <w:proofErr w:type="gramStart"/>
      <w:r w:rsidRPr="008A332E">
        <w:rPr>
          <w:rFonts w:ascii="Times New Roman" w:hAnsi="Times New Roman" w:cs="Times New Roman"/>
          <w:i/>
          <w:iCs/>
          <w:sz w:val="24"/>
          <w:szCs w:val="24"/>
        </w:rPr>
        <w:t>Sultz</w:t>
      </w:r>
      <w:proofErr w:type="spellEnd"/>
      <w:r w:rsidRPr="008A332E">
        <w:rPr>
          <w:rFonts w:ascii="Times New Roman" w:hAnsi="Times New Roman" w:cs="Times New Roman"/>
          <w:i/>
          <w:iCs/>
          <w:sz w:val="24"/>
          <w:szCs w:val="24"/>
        </w:rPr>
        <w:t xml:space="preserve"> &amp; Young's Health Care USA</w:t>
      </w:r>
      <w:r w:rsidRPr="008A332E">
        <w:rPr>
          <w:rFonts w:ascii="Times New Roman" w:hAnsi="Times New Roman" w:cs="Times New Roman"/>
          <w:sz w:val="24"/>
          <w:szCs w:val="24"/>
        </w:rPr>
        <w:t>.</w:t>
      </w:r>
      <w:proofErr w:type="gramEnd"/>
      <w:r w:rsidRPr="008A332E">
        <w:rPr>
          <w:rFonts w:ascii="Times New Roman" w:hAnsi="Times New Roman" w:cs="Times New Roman"/>
          <w:sz w:val="24"/>
          <w:szCs w:val="24"/>
        </w:rPr>
        <w:t xml:space="preserve"> </w:t>
      </w:r>
      <w:proofErr w:type="gramStart"/>
      <w:r w:rsidRPr="008A332E">
        <w:rPr>
          <w:rFonts w:ascii="Times New Roman" w:hAnsi="Times New Roman" w:cs="Times New Roman"/>
          <w:sz w:val="24"/>
          <w:szCs w:val="24"/>
        </w:rPr>
        <w:t>Jones &amp; Bartlett Learning.</w:t>
      </w:r>
      <w:proofErr w:type="gramEnd"/>
    </w:p>
    <w:sectPr w:rsidR="008A332E" w:rsidSect="008A33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48C" w:rsidRDefault="00B0748C" w:rsidP="008A332E">
      <w:pPr>
        <w:spacing w:after="0" w:line="240" w:lineRule="auto"/>
      </w:pPr>
      <w:r>
        <w:separator/>
      </w:r>
    </w:p>
  </w:endnote>
  <w:endnote w:type="continuationSeparator" w:id="0">
    <w:p w:rsidR="00B0748C" w:rsidRDefault="00B0748C" w:rsidP="008A3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48C" w:rsidRDefault="00B0748C" w:rsidP="008A332E">
      <w:pPr>
        <w:spacing w:after="0" w:line="240" w:lineRule="auto"/>
      </w:pPr>
      <w:r>
        <w:separator/>
      </w:r>
    </w:p>
  </w:footnote>
  <w:footnote w:type="continuationSeparator" w:id="0">
    <w:p w:rsidR="00B0748C" w:rsidRDefault="00B0748C" w:rsidP="008A33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07262106"/>
      <w:docPartObj>
        <w:docPartGallery w:val="Page Numbers (Top of Page)"/>
        <w:docPartUnique/>
      </w:docPartObj>
    </w:sdtPr>
    <w:sdtEndPr>
      <w:rPr>
        <w:rFonts w:asciiTheme="minorHAnsi" w:hAnsiTheme="minorHAnsi" w:cstheme="minorBidi"/>
        <w:noProof/>
        <w:sz w:val="22"/>
        <w:szCs w:val="22"/>
      </w:rPr>
    </w:sdtEndPr>
    <w:sdtContent>
      <w:p w:rsidR="008A332E" w:rsidRDefault="008A332E">
        <w:pPr>
          <w:pStyle w:val="Header"/>
          <w:jc w:val="right"/>
        </w:pPr>
        <w:r w:rsidRPr="008A332E">
          <w:rPr>
            <w:rFonts w:ascii="Times New Roman" w:hAnsi="Times New Roman" w:cs="Times New Roman"/>
            <w:sz w:val="24"/>
            <w:szCs w:val="24"/>
          </w:rPr>
          <w:t>THE 1996 HEALTHCARE ACT</w:t>
        </w:r>
        <w:r>
          <w:rPr>
            <w:rFonts w:ascii="Times New Roman" w:hAnsi="Times New Roman" w:cs="Times New Roman"/>
            <w:sz w:val="24"/>
            <w:szCs w:val="24"/>
          </w:rPr>
          <w:t xml:space="preserve">                                                                                                    </w:t>
        </w:r>
        <w:r w:rsidRPr="008A332E">
          <w:rPr>
            <w:rFonts w:ascii="Times New Roman" w:hAnsi="Times New Roman" w:cs="Times New Roman"/>
            <w:sz w:val="24"/>
            <w:szCs w:val="24"/>
          </w:rPr>
          <w:fldChar w:fldCharType="begin"/>
        </w:r>
        <w:r w:rsidRPr="008A332E">
          <w:rPr>
            <w:rFonts w:ascii="Times New Roman" w:hAnsi="Times New Roman" w:cs="Times New Roman"/>
            <w:sz w:val="24"/>
            <w:szCs w:val="24"/>
          </w:rPr>
          <w:instrText xml:space="preserve"> PAGE   \* MERGEFORMAT </w:instrText>
        </w:r>
        <w:r w:rsidRPr="008A332E">
          <w:rPr>
            <w:rFonts w:ascii="Times New Roman" w:hAnsi="Times New Roman" w:cs="Times New Roman"/>
            <w:sz w:val="24"/>
            <w:szCs w:val="24"/>
          </w:rPr>
          <w:fldChar w:fldCharType="separate"/>
        </w:r>
        <w:r w:rsidR="004C7E18">
          <w:rPr>
            <w:rFonts w:ascii="Times New Roman" w:hAnsi="Times New Roman" w:cs="Times New Roman"/>
            <w:noProof/>
            <w:sz w:val="24"/>
            <w:szCs w:val="24"/>
          </w:rPr>
          <w:t>2</w:t>
        </w:r>
        <w:r w:rsidRPr="008A332E">
          <w:rPr>
            <w:rFonts w:ascii="Times New Roman" w:hAnsi="Times New Roman" w:cs="Times New Roman"/>
            <w:noProof/>
            <w:sz w:val="24"/>
            <w:szCs w:val="24"/>
          </w:rPr>
          <w:fldChar w:fldCharType="end"/>
        </w:r>
      </w:p>
    </w:sdtContent>
  </w:sdt>
  <w:p w:rsidR="008A332E" w:rsidRDefault="008A33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77415349"/>
      <w:docPartObj>
        <w:docPartGallery w:val="Page Numbers (Top of Page)"/>
        <w:docPartUnique/>
      </w:docPartObj>
    </w:sdtPr>
    <w:sdtEndPr>
      <w:rPr>
        <w:rFonts w:asciiTheme="minorHAnsi" w:hAnsiTheme="minorHAnsi" w:cstheme="minorBidi"/>
        <w:noProof/>
        <w:sz w:val="22"/>
        <w:szCs w:val="22"/>
      </w:rPr>
    </w:sdtEndPr>
    <w:sdtContent>
      <w:p w:rsidR="008A332E" w:rsidRDefault="008A332E">
        <w:pPr>
          <w:pStyle w:val="Header"/>
          <w:jc w:val="right"/>
        </w:pPr>
        <w:r w:rsidRPr="008A332E">
          <w:rPr>
            <w:rFonts w:ascii="Times New Roman" w:hAnsi="Times New Roman" w:cs="Times New Roman"/>
            <w:sz w:val="24"/>
            <w:szCs w:val="24"/>
          </w:rPr>
          <w:t>Running head: THE 1996 HEALTHCARE ACT</w:t>
        </w:r>
        <w:r>
          <w:rPr>
            <w:rFonts w:ascii="Times New Roman" w:hAnsi="Times New Roman" w:cs="Times New Roman"/>
            <w:sz w:val="24"/>
            <w:szCs w:val="24"/>
          </w:rPr>
          <w:t xml:space="preserve">                                                                            </w:t>
        </w:r>
        <w:r w:rsidRPr="008A332E">
          <w:rPr>
            <w:rFonts w:ascii="Times New Roman" w:hAnsi="Times New Roman" w:cs="Times New Roman"/>
            <w:sz w:val="24"/>
            <w:szCs w:val="24"/>
          </w:rPr>
          <w:fldChar w:fldCharType="begin"/>
        </w:r>
        <w:r w:rsidRPr="008A332E">
          <w:rPr>
            <w:rFonts w:ascii="Times New Roman" w:hAnsi="Times New Roman" w:cs="Times New Roman"/>
            <w:sz w:val="24"/>
            <w:szCs w:val="24"/>
          </w:rPr>
          <w:instrText xml:space="preserve"> PAGE   \* MERGEFORMAT </w:instrText>
        </w:r>
        <w:r w:rsidRPr="008A332E">
          <w:rPr>
            <w:rFonts w:ascii="Times New Roman" w:hAnsi="Times New Roman" w:cs="Times New Roman"/>
            <w:sz w:val="24"/>
            <w:szCs w:val="24"/>
          </w:rPr>
          <w:fldChar w:fldCharType="separate"/>
        </w:r>
        <w:r w:rsidR="004C7E18">
          <w:rPr>
            <w:rFonts w:ascii="Times New Roman" w:hAnsi="Times New Roman" w:cs="Times New Roman"/>
            <w:noProof/>
            <w:sz w:val="24"/>
            <w:szCs w:val="24"/>
          </w:rPr>
          <w:t>1</w:t>
        </w:r>
        <w:r w:rsidRPr="008A332E">
          <w:rPr>
            <w:rFonts w:ascii="Times New Roman" w:hAnsi="Times New Roman" w:cs="Times New Roman"/>
            <w:noProof/>
            <w:sz w:val="24"/>
            <w:szCs w:val="24"/>
          </w:rPr>
          <w:fldChar w:fldCharType="end"/>
        </w:r>
      </w:p>
    </w:sdtContent>
  </w:sdt>
  <w:p w:rsidR="008A332E" w:rsidRDefault="008A33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5AD"/>
    <w:rsid w:val="00111BA3"/>
    <w:rsid w:val="003755AD"/>
    <w:rsid w:val="0039110C"/>
    <w:rsid w:val="004C7E18"/>
    <w:rsid w:val="005E17BE"/>
    <w:rsid w:val="00610BF5"/>
    <w:rsid w:val="008A332E"/>
    <w:rsid w:val="009F725D"/>
    <w:rsid w:val="00B00451"/>
    <w:rsid w:val="00B0748C"/>
    <w:rsid w:val="00E72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32E"/>
  </w:style>
  <w:style w:type="paragraph" w:styleId="Footer">
    <w:name w:val="footer"/>
    <w:basedOn w:val="Normal"/>
    <w:link w:val="FooterChar"/>
    <w:uiPriority w:val="99"/>
    <w:unhideWhenUsed/>
    <w:rsid w:val="008A3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3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32E"/>
  </w:style>
  <w:style w:type="paragraph" w:styleId="Footer">
    <w:name w:val="footer"/>
    <w:basedOn w:val="Normal"/>
    <w:link w:val="FooterChar"/>
    <w:uiPriority w:val="99"/>
    <w:unhideWhenUsed/>
    <w:rsid w:val="008A3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2018-04-08T12:00:00Z</dcterms:created>
  <dcterms:modified xsi:type="dcterms:W3CDTF">2018-04-08T12:00:00Z</dcterms:modified>
</cp:coreProperties>
</file>